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安全评价信息公开表</w:t>
      </w:r>
    </w:p>
    <w:tbl>
      <w:tblPr>
        <w:tblStyle w:val="4"/>
        <w:tblW w:w="8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1211"/>
        <w:gridCol w:w="2172"/>
        <w:gridCol w:w="657"/>
        <w:gridCol w:w="1035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项目名称</w:t>
            </w:r>
          </w:p>
        </w:tc>
        <w:tc>
          <w:tcPr>
            <w:tcW w:w="3383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bookmarkStart w:id="1" w:name="_GoBack"/>
            <w:r>
              <w:rPr>
                <w:rFonts w:hint="eastAsia" w:ascii="宋体" w:hAnsi="宋体"/>
              </w:rPr>
              <w:t>新疆兴达伟业泡塑新材料有限公司废气治理RTO项目安全验收评价</w:t>
            </w:r>
            <w:bookmarkEnd w:id="1"/>
          </w:p>
        </w:tc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评价类型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验收</w:t>
            </w:r>
            <w:r>
              <w:rPr>
                <w:rFonts w:hint="eastAsia"/>
                <w:sz w:val="21"/>
                <w:szCs w:val="21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机构名称</w:t>
            </w:r>
          </w:p>
        </w:tc>
        <w:tc>
          <w:tcPr>
            <w:tcW w:w="3383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新疆恒泰安全技术咨询有限公司</w:t>
            </w:r>
          </w:p>
        </w:tc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资质证书号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APJ-（新）-004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项目</w:t>
            </w:r>
          </w:p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简介</w:t>
            </w:r>
          </w:p>
        </w:tc>
        <w:tc>
          <w:tcPr>
            <w:tcW w:w="676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奎屯－独山子石化工业园是一个打破了行政区划界限和行政隶属关系，立足于产业集中的石化园区，规划建设面积为83.9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km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，地跨伊犁州奎屯市、克拉玛依市独山子区和新疆生产建设兵团七师。</w:t>
            </w:r>
          </w:p>
          <w:p>
            <w:pPr>
              <w:spacing w:line="240" w:lineRule="auto"/>
              <w:ind w:firstLine="420" w:firstLineChars="200"/>
              <w:textAlignment w:val="baseline"/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新疆兴达伟业泡塑新材料有限公司位于奎屯－独山子石化工业园南区内。厂址南为启航路，北为启跃路，西为纵一路，东为纵二路；土地面积397亩；地理坐标为：N44°09′37″,E86°51′58″。距离原料供应地独山子石化2.5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km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。具体情况详见附图——区域位置图。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本项目布置在在新疆兴达伟业泡塑新材料有限公司苯乙烯罐区北侧，占地大小约20m×7m。新建 RTO设施距离南侧苯乙烯储罐36m，西侧、东侧、北侧为空地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zh-CN"/>
              </w:rPr>
              <w:t>。</w:t>
            </w:r>
          </w:p>
          <w:p>
            <w:pPr>
              <w:spacing w:line="240" w:lineRule="auto"/>
              <w:ind w:firstLine="420" w:firstLineChars="200"/>
              <w:textAlignment w:val="baseline"/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建设项目总规模为：</w:t>
            </w:r>
            <w:bookmarkStart w:id="0" w:name="_Toc522109222"/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处理能力为40000m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/h，最大处理能力为45000m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/h；设计负荷弹性：RTO处理能力有110%弹性</w:t>
            </w:r>
            <w:bookmarkEnd w:id="0"/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。处理后废气排放浓度限值苯乙烯≤50mg/m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，二甲苯≤20mg/m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，非甲烷总烃≤120mg/m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  <w:lang w:val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zh-CN"/>
              </w:rPr>
              <w:t>，去除效率≥97%。</w:t>
            </w:r>
          </w:p>
          <w:p>
            <w:pPr>
              <w:spacing w:line="240" w:lineRule="auto"/>
              <w:ind w:firstLine="420" w:firstLineChars="200"/>
              <w:rPr>
                <w:rFonts w:hint="eastAsia" w:ascii="Times New Roman" w:hAnsi="Times New Roman" w:eastAsia="宋体" w:cs="Times New Roman"/>
                <w:sz w:val="21"/>
                <w:szCs w:val="21"/>
                <w:lang w:val="zh-CN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新建RTO废气处理设施位于新疆兴达伟业泡塑新材料有限公司现有厂区北侧。新建设施呈东西向布置，主要由三床式RTO、控制系统、烟囱、风机及其他设备部分组成。新建设施南侧为苯乙烯罐区，北侧为现有厂区围墙，东侧和西侧为现有厂区预留用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/>
                <w:snapToGrid w:val="0"/>
                <w:kern w:val="0"/>
                <w:lang w:val="en-US" w:eastAsia="zh-CN" w:bidi="en-US"/>
              </w:rPr>
            </w:pPr>
            <w:r>
              <w:rPr>
                <w:rFonts w:ascii="Times New Roman" w:hAnsi="Times New Roman"/>
                <w:bCs/>
                <w:sz w:val="21"/>
                <w:szCs w:val="21"/>
                <w:lang w:eastAsia="zh-CN"/>
              </w:rPr>
              <w:t>本项目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en-US" w:eastAsia="zh-CN"/>
              </w:rPr>
              <w:t>主要</w:t>
            </w:r>
            <w:r>
              <w:rPr>
                <w:rFonts w:ascii="Times New Roman" w:hAnsi="Times New Roman"/>
                <w:bCs/>
                <w:sz w:val="21"/>
                <w:szCs w:val="21"/>
                <w:lang w:eastAsia="zh-CN"/>
              </w:rPr>
              <w:t>危险有害因素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为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窒息</w:t>
            </w:r>
            <w:r>
              <w:rPr>
                <w:rFonts w:hint="eastAsia" w:eastAsia="宋体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静电</w:t>
            </w:r>
            <w:r>
              <w:rPr>
                <w:rFonts w:hint="eastAsia" w:eastAsia="宋体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噪声</w:t>
            </w:r>
            <w:r>
              <w:rPr>
                <w:rFonts w:hint="eastAsia" w:eastAsia="宋体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高温</w:t>
            </w:r>
            <w:r>
              <w:rPr>
                <w:rFonts w:hint="eastAsia" w:eastAsia="宋体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振动</w:t>
            </w:r>
            <w:r>
              <w:rPr>
                <w:rFonts w:hint="eastAsia" w:eastAsia="宋体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坠落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机械伤害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触电</w:t>
            </w:r>
            <w:r>
              <w:rPr>
                <w:rFonts w:hint="eastAsia"/>
                <w:sz w:val="21"/>
                <w:szCs w:val="21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45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安全过程控制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职业证书编号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承担主要工作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项目负责人</w:t>
            </w:r>
          </w:p>
        </w:tc>
        <w:tc>
          <w:tcPr>
            <w:tcW w:w="1211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费维新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0800000000101900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现场勘验，报告编制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项目组成员</w:t>
            </w:r>
          </w:p>
        </w:tc>
        <w:tc>
          <w:tcPr>
            <w:tcW w:w="1211" w:type="dxa"/>
            <w:vAlign w:val="center"/>
          </w:tcPr>
          <w:p>
            <w:pPr>
              <w:spacing w:line="48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高杰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0800000000101916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薛李赟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1100000000300405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樊荣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1500000000302051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程新明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0800000000101152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spacing w:line="48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王跃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1700000000301919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现场勘验，报告编制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报告编制人</w:t>
            </w:r>
          </w:p>
        </w:tc>
        <w:tc>
          <w:tcPr>
            <w:tcW w:w="1211" w:type="dxa"/>
            <w:vAlign w:val="center"/>
          </w:tcPr>
          <w:p>
            <w:pPr>
              <w:spacing w:line="48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费维新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0800000000101900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报告审核人</w:t>
            </w:r>
          </w:p>
        </w:tc>
        <w:tc>
          <w:tcPr>
            <w:tcW w:w="1211" w:type="dxa"/>
            <w:vAlign w:val="center"/>
          </w:tcPr>
          <w:p>
            <w:pPr>
              <w:spacing w:line="480" w:lineRule="auto"/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马永忠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1500000000200143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过程控制负责人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高一龙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0800000000203545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技术负责人</w:t>
            </w:r>
          </w:p>
        </w:tc>
        <w:tc>
          <w:tcPr>
            <w:tcW w:w="1211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许永辉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1700000000100212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报告提交时间</w:t>
            </w:r>
          </w:p>
        </w:tc>
        <w:tc>
          <w:tcPr>
            <w:tcW w:w="6767" w:type="dxa"/>
            <w:gridSpan w:val="5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2021.3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33520" cy="3025775"/>
            <wp:effectExtent l="0" t="0" r="5080" b="3175"/>
            <wp:docPr id="1" name="图片 1" descr="检查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检查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33520" cy="302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3984625" cy="2959100"/>
            <wp:effectExtent l="0" t="0" r="15875" b="12700"/>
            <wp:docPr id="2" name="图片 2" descr="业主大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业主大门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84625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66552"/>
    <w:rsid w:val="7EF6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next w:val="1"/>
    <w:qFormat/>
    <w:uiPriority w:val="0"/>
    <w:pPr>
      <w:ind w:left="420" w:hanging="4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2021-08-31T03:59:00Z</dcterms:created>
  <dc:creator>籽</dc:creator>
  <cp:lastModifiedBy>籽</cp:lastModifiedBy>
  <dcterms:modified xsi:type="dcterms:W3CDTF">2021-08-31T04:19:55Z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B78FD938B7A247D3B567FC1904678E93</vt:lpwstr>
  </property>
</Properties>
</file>